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289eeec98cb4cd9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42475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GRADSKA KNJIŽNICA KRAPINA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396.497,31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448.127,51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113,0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302.344,93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330.831,67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109,4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94.152,38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117.295,84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124,6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93.070,46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121.508,82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130,6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93.070,46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121.508,82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130,6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4.212,98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Ukupni prihodi poslovanja u izvještajnom razdoblju ostavreni su u iznosu 448.127,51 eura dok ukupni rashodi poslovanja iznose 452.340,49 eura. U izvještajnom razdoblju bilježi se manjak ostvarenih prihoda nad rashodima u iznosu 4.212,98 eura.</w:t>
      </w:r>
    </w:p>
    <w:p>
      <w:r>
        <w:t xml:space="preserve">Preneseni višak iz prijašnjih godina iznosio je 9.135,80 eura te višak prihoda raspoloživ u sljedećem razdoblju iznosi 4.922,82 eura.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396.497,31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448.127,51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113,0</w:t>
            </w:r>
          </w:p>
        </w:tc>
      </w:tr>
    </w:tbl>
    <w:p>
      <w:pPr>
        <w:spacing w:before="0" w:after="0"/>
      </w:pPr>
    </w:p>
    <w:p>
      <w:r>
        <w:t xml:space="preserve">Ukupni prihodi poslovanja ostvareni su u iznosu od 448.127,51 eura. U odnosu na isto izvještajno razdoblje 2024. godine ostvareno je 51.630,20 eura više. Najznačajnije povećanje prihoda bilježi se iz nadležnog proročuna.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proračunskim korisnicima iz proračuna koji im nije nadležan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43.113,56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49.156,39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114,0</w:t>
            </w:r>
          </w:p>
        </w:tc>
      </w:tr>
    </w:tbl>
    <w:p>
      <w:pPr>
        <w:spacing w:before="0" w:after="0"/>
      </w:pPr>
    </w:p>
    <w:p>
      <w:r>
        <w:t xml:space="preserve">Tekuće pomoći proračunskim korisnicima iz proračuna koji im nije nadležan ostvarene su u iznosu 49.156,39. </w:t>
      </w:r>
    </w:p>
    <w:p>
      <w:r>
        <w:t xml:space="preserve">Odnose se na pomoći Ministarstva kulture i medija RH za financiranje programskih djelatnosti u iznosu 3.700 eura, za sufinanicanje rada Županijske matične službe u iznosu 34.456,39 eura. Tekuće pomoći iz proračuna Krapinsko-zagorske županije ostvarene su u iznosu od 11.000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pomoći proračunskim korisnicima iz proračuna koji im nije nadležan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74.500,00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79.500,00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106,7</w:t>
            </w:r>
          </w:p>
        </w:tc>
      </w:tr>
    </w:tbl>
    <w:p>
      <w:pPr>
        <w:spacing w:before="0" w:after="0"/>
      </w:pPr>
    </w:p>
    <w:p>
      <w:r>
        <w:t xml:space="preserve">Kapitalne pomoći proračunskim korisnicima iz proračuna koji im nije nadležan u izvještajnom razdoblju iznose 79.500 eura. Odnose se na pomoći MKIM za nabavu knjižne i neknjižne građe, program otkupa knjiga uvrštenih na popis A i popis B u iznosu 54.000 eura i sanaciju prozora, vrata i staklenih izolacija u iznosu 20.000. Kapitalne pomoći iz proačuna  Krapinsko-zagorske županije iznose 5.500 eura. Za digitalizaciju Zavičajne zbirke 3.000 eura te za nabavu polica za dječji odjel 2.500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imovine (šifre 641+642+643)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1.168,61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466,06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39,9</w:t>
            </w:r>
          </w:p>
        </w:tc>
      </w:tr>
    </w:tbl>
    <w:p>
      <w:pPr>
        <w:spacing w:before="0" w:after="0"/>
      </w:pPr>
    </w:p>
    <w:p>
      <w:r>
        <w:t xml:space="preserve">Prihodi od imovie u 2025. godini ostvareni su iznosu 466,06 eura. Zbog radova tijekom izvještajne godine nije bilo najma prostora pa se bilježi značajno smanjenje.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 posebnim propisima (šifre 6521 do 6528)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11.380,00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18.141,86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159,4</w:t>
            </w:r>
          </w:p>
        </w:tc>
      </w:tr>
    </w:tbl>
    <w:p>
      <w:pPr>
        <w:spacing w:before="0" w:after="0"/>
      </w:pPr>
    </w:p>
    <w:p>
      <w:r>
        <w:t xml:space="preserve">Prihodi  po posebnim prospisima odtvareni su u iznosu 18.141,86 eura. </w:t>
      </w:r>
    </w:p>
    <w:p>
      <w:r>
        <w:t xml:space="preserve">Sukladno sklopljenom ugovoru sa Hrvatskim zavodom za zapošljavanje ugovoru ostvaren je prihod od 10.417,86 eura za (su)financiranje plaće djelatnika u javnom radu.</w:t>
      </w:r>
    </w:p>
    <w:p>
      <w:r>
        <w:t xml:space="preserve">Iznos od 6.254 eura odnosi se na iznose naplaćenih članarina u 2025. godini.</w:t>
      </w:r>
    </w:p>
    <w:p>
      <w:r>
        <w:t xml:space="preserve">Prihodi s osnova osiguranja ostvareni su u iznosu 1.470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pruženih usluga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4.827,73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5.229,76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108,3</w:t>
            </w:r>
          </w:p>
        </w:tc>
      </w:tr>
    </w:tbl>
    <w:p>
      <w:pPr>
        <w:spacing w:before="0" w:after="0"/>
      </w:pPr>
    </w:p>
    <w:p>
      <w:r>
        <w:t xml:space="preserve">Prihodi od pruženih usluga ostavreni su u iznosu 5.229,76 eura koji se odnose na naplaćene zakasnine prilikom povrata knjižne građe te usluge kopiranja.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donacije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1.624,00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Tekuće donacije ostvarene su u iznosu 1.624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za financiranje rashoda poslovanja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242.197,63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269.253,36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111,2</w:t>
            </w:r>
          </w:p>
        </w:tc>
      </w:tr>
    </w:tbl>
    <w:p>
      <w:pPr>
        <w:spacing w:before="0" w:after="0"/>
      </w:pPr>
    </w:p>
    <w:p>
      <w:r>
        <w:t xml:space="preserve">Prihodi iz nadležnog proračuna za financiranje rashoda poslovanja ostvareni su u iznosu 269.253,36 eura, od čega se 2.924,74 eura odnosi na prihode za sufinanciranje programskih aktivnosti.</w:t>
      </w:r>
    </w:p>
    <w:p>
      <w:r>
        <w:t xml:space="preserve">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za financiranje rashoda za nabavu nefinancijske imovine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17.227,86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24.756,08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143,7</w:t>
            </w:r>
          </w:p>
        </w:tc>
      </w:tr>
    </w:tbl>
    <w:p>
      <w:pPr>
        <w:spacing w:before="0" w:after="0"/>
      </w:pPr>
    </w:p>
    <w:p>
      <w:r>
        <w:t xml:space="preserve">Prihodi iz nadležnog proračuna za financiranje rashoda za nabavu nefinancijske imovine ostvareni su u iznosu 24.756,08 eura. Ostvareno je za 43,7% više nego u istom razdoblju prošle godine zbog radova na zamjeni podova.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Plaće za redovan rad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194.369,49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219.871,27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113,1</w:t>
            </w:r>
          </w:p>
        </w:tc>
      </w:tr>
    </w:tbl>
    <w:p>
      <w:pPr>
        <w:spacing w:before="0" w:after="0"/>
      </w:pPr>
    </w:p>
    <w:p>
      <w:r>
        <w:t xml:space="preserve">Rashodi za plaće veći su u 2025. godini zbog primjene nove osnovice za obračun plaće, zbog više navršenih godina radnog staža djelatnika te zbog isplate otpremnine djelatniku prilikom odlaska u mirovinu. U ožujku 2025. godine zaposlena je jedna osoba sukladno ugovoru o javnim radovima. </w:t>
      </w:r>
    </w:p>
    <w:tbl>
      <w:tblPr>
        <w:tblStyle w:val="TableGrid"/>
        <w:tblW w:w="5000" w:type="pct"/>
      </w:tblPr>
      <w:tblGrid>
        <w:gridCol w:w="4811"/>
        <w:gridCol w:w="4811"/>
      </w:tblGrid>
      <w:tr>
        <w:trPr>
          <w:trHeight w:val="542" w:hRule="atLeast"/>
        </w:trPr>
        <w:tc>
          <w:tcPr>
            <w:tcW w:w="2500" w:type="pct"/>
            <w:vAlign w:val="center"/>
          </w:tcPr>
          <w:p>
            <w:r>
              <w:t xml:space="preserve">plaće za redova rad</w:t>
            </w:r>
          </w:p>
        </w:tc>
        <w:tc>
          <w:tcPr>
            <w:tcW w:w="2500" w:type="pct"/>
            <w:vAlign w:val="center"/>
          </w:tcPr>
          <w:p>
            <w:r>
              <w:t xml:space="preserve">184.684,63</w:t>
            </w:r>
          </w:p>
        </w:tc>
      </w:tr>
      <w:tr>
        <w:trPr>
          <w:trHeight w:val="542" w:hRule="atLeast"/>
        </w:trPr>
        <w:tc>
          <w:tcPr>
            <w:tcW w:w="2500" w:type="pct"/>
            <w:vAlign w:val="center"/>
          </w:tcPr>
          <w:p>
            <w:r>
              <w:t xml:space="preserve">plaće za redovan rad- matična služba</w:t>
            </w:r>
          </w:p>
        </w:tc>
        <w:tc>
          <w:tcPr>
            <w:tcW w:w="2500" w:type="pct"/>
            <w:vAlign w:val="center"/>
          </w:tcPr>
          <w:p>
            <w:r>
              <w:t xml:space="preserve">26.400,41</w:t>
            </w:r>
          </w:p>
        </w:tc>
      </w:tr>
      <w:tr>
        <w:trPr>
          <w:trHeight w:val="542" w:hRule="atLeast"/>
        </w:trPr>
        <w:tc>
          <w:tcPr>
            <w:tcW w:w="2500" w:type="pct"/>
            <w:vAlign w:val="center"/>
          </w:tcPr>
          <w:p>
            <w:r>
              <w:t xml:space="preserve">plaće za redovan rad - javni rad</w:t>
            </w:r>
          </w:p>
        </w:tc>
        <w:tc>
          <w:tcPr>
            <w:tcW w:w="2500" w:type="pct"/>
            <w:vAlign w:val="center"/>
          </w:tcPr>
          <w:p>
            <w:r>
              <w:t xml:space="preserve">8.786,23</w:t>
            </w:r>
          </w:p>
        </w:tc>
      </w:tr>
    </w:tbl>
    <w:p>
      <w:r>
        <w:t xml:space="preserve">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rashodi za zaposlene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15.612,66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12.550,96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80,4</w:t>
            </w:r>
          </w:p>
        </w:tc>
      </w:tr>
    </w:tbl>
    <w:p>
      <w:pPr>
        <w:spacing w:before="0" w:after="0"/>
      </w:pPr>
    </w:p>
    <w:p>
      <w:r>
        <w:t xml:space="preserve">U 2025. godini ostali rashodi za zaposlene iznose 12.550,96 eura.</w:t>
      </w:r>
    </w:p>
    <w:p>
      <w:r>
        <w:t xml:space="preserve">Ostali rashodi za zaposlene odnose se na: prigodne nagrade - naknade za korištenje godišnjeg odmora radnicima i božićnice u iznosu 6.400 eura, dar djeci radnika do 15 godina starosti u iznosu 500 eura, otpremnine u iznosu 1.500 eura te novčanu paušalnu naknadu za podmirivanje troškova prehrane u iznosu od 4.150,96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troškova zaposlenima (šifre 3211 do 3214)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13.794,19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12.585,56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91,2</w:t>
            </w:r>
          </w:p>
        </w:tc>
      </w:tr>
    </w:tbl>
    <w:p>
      <w:pPr>
        <w:spacing w:before="0" w:after="0"/>
      </w:pPr>
    </w:p>
    <w:p>
      <w:r>
        <w:t xml:space="preserve">Naknade troškova zaposelnima izvršene su u iznosu od 12.585,56 eura. Za dnevnice na sl. putu 15 eura, naknada za prijevoz na posao i s posla 10.817,23 eura, seminari 450 eura te naknada za korištenje privatnog automobila u sl. svrhe 1.303,33 eura. Budući da knjižnica nema službeni automobil, prilikom odlaska na stručna usavršavanja, nadzor županijskih knjižnica te razne sastanke, zaposlenici, voditeljica matične službe i ravnateljica koriste vl. automobil.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materijal i energiju (šifre 3221 do 3227)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13.911,67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18.712,71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134,5</w:t>
            </w:r>
          </w:p>
        </w:tc>
      </w:tr>
    </w:tbl>
    <w:p>
      <w:pPr>
        <w:spacing w:before="0" w:after="0"/>
      </w:pPr>
    </w:p>
    <w:p>
      <w:r>
        <w:t xml:space="preserve">Rashodi za materijal i energiju izvršeni su u iznosu od 18.712,71 eura.</w:t>
      </w:r>
    </w:p>
    <w:tbl>
      <w:tblPr>
        <w:tblStyle w:val="TableGrid"/>
        <w:tblW w:w="5000" w:type="pct"/>
      </w:tblPr>
      <w:tblGrid>
        <w:gridCol w:w="4811"/>
        <w:gridCol w:w="4811"/>
      </w:tblGrid>
      <w:tr>
        <w:trPr>
          <w:trHeight w:val="542" w:hRule="atLeast"/>
        </w:trPr>
        <w:tc>
          <w:tcPr>
            <w:tcW w:w="2500" w:type="pct"/>
            <w:vAlign w:val="center"/>
          </w:tcPr>
          <w:p>
            <w:r>
              <w:t xml:space="preserve">uredski materijal</w:t>
            </w:r>
          </w:p>
        </w:tc>
        <w:tc>
          <w:tcPr>
            <w:tcW w:w="2500" w:type="pct"/>
            <w:vAlign w:val="center"/>
          </w:tcPr>
          <w:p>
            <w:r>
              <w:t xml:space="preserve">2.972,28</w:t>
            </w:r>
          </w:p>
        </w:tc>
      </w:tr>
      <w:tr>
        <w:trPr>
          <w:trHeight w:val="542" w:hRule="atLeast"/>
        </w:trPr>
        <w:tc>
          <w:tcPr>
            <w:tcW w:w="2500" w:type="pct"/>
            <w:vAlign w:val="center"/>
          </w:tcPr>
          <w:p>
            <w:r>
              <w:t xml:space="preserve">ostali materijal za potrebe redovnog poslovanja (materijal za radionice)</w:t>
            </w:r>
          </w:p>
        </w:tc>
        <w:tc>
          <w:tcPr>
            <w:tcW w:w="2500" w:type="pct"/>
            <w:vAlign w:val="center"/>
          </w:tcPr>
          <w:p>
            <w:r>
              <w:t xml:space="preserve">2.795,67</w:t>
            </w:r>
          </w:p>
        </w:tc>
      </w:tr>
      <w:tr>
        <w:trPr/>
        <w:tc>
          <w:tcPr>
            <w:tcW w:w="2500" w:type="pct"/>
            <w:vAlign w:val="center"/>
          </w:tcPr>
          <w:p>
            <w:r>
              <w:t xml:space="preserve">materijal i sredstva za čišćenje</w:t>
            </w:r>
          </w:p>
        </w:tc>
        <w:tc>
          <w:tcPr>
            <w:tcW w:w="2500" w:type="pct"/>
            <w:vAlign w:val="center"/>
          </w:tcPr>
          <w:p>
            <w:r>
              <w:t xml:space="preserve">937,28</w:t>
            </w:r>
          </w:p>
        </w:tc>
      </w:tr>
      <w:tr>
        <w:trPr>
          <w:trHeight w:val="542" w:hRule="atLeast"/>
        </w:trPr>
        <w:tc>
          <w:tcPr>
            <w:tcW w:w="2500" w:type="pct"/>
            <w:vAlign w:val="center"/>
          </w:tcPr>
          <w:p>
            <w:r>
              <w:t xml:space="preserve">električna energija</w:t>
            </w:r>
          </w:p>
        </w:tc>
        <w:tc>
          <w:tcPr>
            <w:tcW w:w="2500" w:type="pct"/>
            <w:vAlign w:val="center"/>
          </w:tcPr>
          <w:p>
            <w:r>
              <w:t xml:space="preserve">2.530,21</w:t>
            </w:r>
          </w:p>
        </w:tc>
      </w:tr>
      <w:tr>
        <w:trPr>
          <w:trHeight w:val="542" w:hRule="atLeast"/>
        </w:trPr>
        <w:tc>
          <w:tcPr>
            <w:tcW w:w="2500" w:type="pct"/>
            <w:vAlign w:val="center"/>
          </w:tcPr>
          <w:p>
            <w:r>
              <w:t xml:space="preserve">plin</w:t>
            </w:r>
          </w:p>
        </w:tc>
        <w:tc>
          <w:tcPr>
            <w:tcW w:w="2500" w:type="pct"/>
            <w:vAlign w:val="center"/>
          </w:tcPr>
          <w:p>
            <w:r>
              <w:t xml:space="preserve">4.716,74</w:t>
            </w:r>
          </w:p>
        </w:tc>
      </w:tr>
      <w:tr>
        <w:trPr>
          <w:trHeight w:val="542" w:hRule="atLeast"/>
        </w:trPr>
        <w:tc>
          <w:tcPr>
            <w:tcW w:w="2500" w:type="pct"/>
            <w:vAlign w:val="center"/>
          </w:tcPr>
          <w:p>
            <w:r>
              <w:t xml:space="preserve">ostali materijal i dijelovi za tek.i inv.održavanje</w:t>
            </w:r>
          </w:p>
        </w:tc>
        <w:tc>
          <w:tcPr>
            <w:tcW w:w="2500" w:type="pct"/>
            <w:vAlign w:val="center"/>
          </w:tcPr>
          <w:p>
            <w:r>
              <w:t xml:space="preserve">1.501,07</w:t>
            </w:r>
          </w:p>
        </w:tc>
      </w:tr>
      <w:tr>
        <w:trPr>
          <w:trHeight w:val="542" w:hRule="atLeast"/>
        </w:trPr>
        <w:tc>
          <w:tcPr>
            <w:tcW w:w="2500" w:type="pct"/>
            <w:vAlign w:val="center"/>
          </w:tcPr>
          <w:p>
            <w:r>
              <w:t xml:space="preserve">sitni inventar</w:t>
            </w:r>
          </w:p>
        </w:tc>
        <w:tc>
          <w:tcPr>
            <w:tcW w:w="2500" w:type="pct"/>
            <w:vAlign w:val="center"/>
          </w:tcPr>
          <w:p>
            <w:r>
              <w:t xml:space="preserve">3.069,44</w:t>
            </w:r>
          </w:p>
        </w:tc>
      </w:tr>
      <w:tr>
        <w:trPr>
          <w:trHeight w:val="542" w:hRule="atLeast"/>
        </w:trPr>
        <w:tc>
          <w:tcPr>
            <w:tcW w:w="2500" w:type="pct"/>
            <w:vAlign w:val="center"/>
          </w:tcPr>
          <w:p>
            <w:r>
              <w:t xml:space="preserve">službena radna odjeća</w:t>
            </w:r>
          </w:p>
        </w:tc>
        <w:tc>
          <w:tcPr>
            <w:tcW w:w="2500" w:type="pct"/>
            <w:vAlign w:val="center"/>
          </w:tcPr>
          <w:p>
            <w:r>
              <w:t xml:space="preserve">190,00</w:t>
            </w:r>
          </w:p>
        </w:tc>
      </w:tr>
    </w:tbl>
    <w:p>
      <w:r>
        <w:t xml:space="preserve">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telefona, interneta, pošte i prijevoza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2.628,43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2.456,32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93,5</w:t>
            </w:r>
          </w:p>
        </w:tc>
      </w:tr>
    </w:tbl>
    <w:p>
      <w:pPr>
        <w:spacing w:before="0" w:after="0"/>
      </w:pPr>
    </w:p>
    <w:p>
      <w:r>
        <w:t xml:space="preserve">Usluge telefona, interneta, pošte i prijevoza izvršene su u iznosu od 2.456,32 eura. </w:t>
      </w:r>
    </w:p>
    <w:tbl>
      <w:tblPr>
        <w:tblStyle w:val="TableGrid"/>
        <w:tblW w:w="5000" w:type="pct"/>
      </w:tblPr>
      <w:tblGrid>
        <w:gridCol w:w="4811"/>
        <w:gridCol w:w="4811"/>
      </w:tblGrid>
      <w:tr>
        <w:trPr>
          <w:trHeight w:val="542" w:hRule="atLeast"/>
        </w:trPr>
        <w:tc>
          <w:tcPr>
            <w:tcW w:w="2500" w:type="pct"/>
            <w:vAlign w:val="center"/>
          </w:tcPr>
          <w:p>
            <w:r>
              <w:t xml:space="preserve">usluge telefona</w:t>
            </w:r>
          </w:p>
        </w:tc>
        <w:tc>
          <w:tcPr>
            <w:tcW w:w="2500" w:type="pct"/>
            <w:vAlign w:val="center"/>
          </w:tcPr>
          <w:p>
            <w:r>
              <w:t xml:space="preserve">1.552,20</w:t>
            </w:r>
          </w:p>
        </w:tc>
      </w:tr>
      <w:tr>
        <w:trPr>
          <w:trHeight w:val="542" w:hRule="atLeast"/>
        </w:trPr>
        <w:tc>
          <w:tcPr>
            <w:tcW w:w="2500" w:type="pct"/>
            <w:vAlign w:val="center"/>
          </w:tcPr>
          <w:p>
            <w:r>
              <w:t xml:space="preserve">usluge interneta</w:t>
            </w:r>
          </w:p>
        </w:tc>
        <w:tc>
          <w:tcPr>
            <w:tcW w:w="2500" w:type="pct"/>
            <w:vAlign w:val="center"/>
          </w:tcPr>
          <w:p>
            <w:r>
              <w:t xml:space="preserve">725,85</w:t>
            </w:r>
          </w:p>
        </w:tc>
      </w:tr>
      <w:tr>
        <w:trPr/>
        <w:tc>
          <w:tcPr>
            <w:tcW w:w="2500" w:type="pct"/>
            <w:vAlign w:val="center"/>
          </w:tcPr>
          <w:p>
            <w:r>
              <w:t xml:space="preserve">poštarina</w:t>
            </w:r>
          </w:p>
        </w:tc>
        <w:tc>
          <w:tcPr>
            <w:tcW w:w="2500" w:type="pct"/>
            <w:vAlign w:val="center"/>
          </w:tcPr>
          <w:p>
            <w:r>
              <w:t xml:space="preserve">178,27</w:t>
            </w:r>
          </w:p>
        </w:tc>
      </w:tr>
    </w:tbl>
    <w:p>
      <w:r>
        <w:t xml:space="preserve">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tekućeg i investicijskog održavanja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3.789,23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6.963,79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183,8</w:t>
            </w:r>
          </w:p>
        </w:tc>
      </w:tr>
    </w:tbl>
    <w:p>
      <w:pPr>
        <w:spacing w:before="0" w:after="0"/>
      </w:pPr>
    </w:p>
    <w:p>
      <w:r>
        <w:t xml:space="preserve">Usluge tekućeg i inv.održavanja izvršene su u iznosu 6.963,79, a odnose se na: elektroinstalacijske radove 687,50 eura, pregled i čišćenje dimanjka (2xgodišnje) 630 eura, servis klima uređaja 494,80 eura,  servis vatrogasnih aparata 287,50 eura, servis plinskog bojlera i zamjena termostatskih glava na dijelu radijatora 406,40 eura, zamjena brave na ulaznim vratima te garderobnim ormarima 241,55 eura, soboslikarski radovi 2.020,04 eura, usluge skidanja starih podova (linoleum i tepison)  2.112,50, servis fotokopirnog aparat 83,50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Komunalne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1.248,63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492,82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39,5</w:t>
            </w:r>
          </w:p>
        </w:tc>
      </w:tr>
    </w:tbl>
    <w:p>
      <w:pPr>
        <w:spacing w:before="0" w:after="0"/>
      </w:pPr>
    </w:p>
    <w:p>
      <w:r>
        <w:t xml:space="preserve">Komunalne usluge izvršene su u iznosu 492,82 eura, iznos je znatno manji jer u 2025. godini nije bilo potrebe za nabavkom kontejnera za glomazni otpad.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8.526,59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2.837,58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33,3</w:t>
            </w:r>
          </w:p>
        </w:tc>
      </w:tr>
    </w:tbl>
    <w:p>
      <w:pPr>
        <w:spacing w:before="0" w:after="0"/>
      </w:pPr>
    </w:p>
    <w:p>
      <w:r>
        <w:t xml:space="preserve">Ostale usluge izvršene su u iznosu od 2.837,58 eura, a odnose se na grafičke i tiskarske usluge.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Premije osiguranja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2.638,24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5.322,54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201,7</w:t>
            </w:r>
          </w:p>
        </w:tc>
      </w:tr>
    </w:tbl>
    <w:p>
      <w:pPr>
        <w:spacing w:before="0" w:after="0"/>
      </w:pPr>
    </w:p>
    <w:p>
      <w:r>
        <w:t xml:space="preserve">Premije osiguranja izvršene su u iznosu 2.638,24 eura i to za premije osiguranja imovine u iznosu 3.208,07 eura te za premije osiguranja zaposlenih u iznosu 2.114,47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Reprezentacija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2.874,31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4.454,39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155,0</w:t>
            </w:r>
          </w:p>
        </w:tc>
      </w:tr>
    </w:tbl>
    <w:p>
      <w:pPr>
        <w:spacing w:before="0" w:after="0"/>
      </w:pPr>
    </w:p>
    <w:p>
      <w:r>
        <w:t xml:space="preserve">Troškovi reprezentacije izvršeni su u iznosu od 4.454,39. Izvršeno je više u odnosu na 2024. godinu zbog troškova obilježavanja 180. godina prve čitaonice te zbog nabave prigodnih poklona za prisutne goste.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Članarine i norme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158,22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175,8</w:t>
            </w:r>
          </w:p>
        </w:tc>
      </w:tr>
    </w:tbl>
    <w:p>
      <w:pPr>
        <w:spacing w:before="0" w:after="0"/>
      </w:pPr>
    </w:p>
    <w:p>
      <w:r>
        <w:t xml:space="preserve">Članarine i norme izvršene su u iznosu 158,22 eura i to za članarina ZANA 38,22 i članarina knjižničarskom društvu KZŽ 120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Višak prihoda poslovanja - preneseni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8.053,88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9.135,80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113,4</w:t>
            </w:r>
          </w:p>
        </w:tc>
      </w:tr>
    </w:tbl>
    <w:p>
      <w:pPr>
        <w:spacing w:before="0" w:after="0"/>
      </w:pPr>
    </w:p>
    <w:p>
      <w:r>
        <w:t xml:space="preserve">Preneseni višak iznosio je 9.135,80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Postrojenja i oprema (šifre 4221 do 4228)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10.095,03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17.988,93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178,2</w:t>
            </w:r>
          </w:p>
        </w:tc>
      </w:tr>
    </w:tbl>
    <w:p>
      <w:pPr>
        <w:spacing w:before="0" w:after="0"/>
      </w:pPr>
    </w:p>
    <w:p>
      <w:r>
        <w:t xml:space="preserve">Nabavljeno je novo računalo 1.105 eura, projektor te ozvučenje za novu čitaonicu 1.723,10 eura, printer 191,25 eura, namještaj i police za novi dječji odjel 4.808,29 eura, namještaj za novu čitaonicu 4.225,14 eura, police 4.060 eura, metalbox 908,75 eura, usisavač 368,40 eura te aparat za kavu 599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Dodatna ulaganja na građevinskim objektima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22.362,50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41.937,89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187,5</w:t>
            </w:r>
          </w:p>
        </w:tc>
      </w:tr>
    </w:tbl>
    <w:p>
      <w:pPr>
        <w:spacing w:before="0" w:after="0"/>
      </w:pPr>
    </w:p>
    <w:p>
      <w:r>
        <w:t xml:space="preserve">Dodatna ulaganja izvršena su u iznosu od 41.937,89. Zamijenjeni su preostali prozori te je postavljena staklena stijena 26.610 eura, postava keramike u prizemlju te laminata na katu 15.327,89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UKUPAN MANJAK PRIHODA (šifre Y034-X067)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Y004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4.212,98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Ukupan manjak prihoda nad rashodima iznosi 4.212,98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novčanih sredstava na kraju izvještajnog razdoblja (šifre 11P + '11-dugov.' - '11-potraž.')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11K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35.721,16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27.838,71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77,9</w:t>
            </w:r>
          </w:p>
        </w:tc>
      </w:tr>
    </w:tbl>
    <w:p>
      <w:pPr>
        <w:spacing w:before="0" w:after="0"/>
      </w:pPr>
    </w:p>
    <w:p>
      <w:r>
        <w:t xml:space="preserve">Stanje novčanih sredstava na dan 31.12.2025. godine iznosilo je 27.838,71 eura. Stanje novčanih sredstava u blagajni 1.618,13 eura te stanje nov.sredstava na žiro računu 26.220,58 eura.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Bilanca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021 i 02921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Građevinski objekti (šifre 0211 do 0214 - 02921)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021 i 02921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570.753,65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603.465,18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105,7</w:t>
            </w:r>
          </w:p>
        </w:tc>
      </w:tr>
    </w:tbl>
    <w:p>
      <w:pPr>
        <w:spacing w:before="0" w:after="0"/>
      </w:pPr>
    </w:p>
    <w:p>
      <w:r>
        <w:t xml:space="preserve">Povećanje se odnosi na dodatne radove u 2025. godine (zamjena preostalih prozora te zamjenu postojećih podova).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Uredska oprema i namještaj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100.068,91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115.946,46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115,9</w:t>
            </w:r>
          </w:p>
        </w:tc>
      </w:tr>
    </w:tbl>
    <w:p>
      <w:pPr>
        <w:spacing w:before="0" w:after="0"/>
      </w:pPr>
    </w:p>
    <w:p>
      <w:r>
        <w:t xml:space="preserve">Vrijednost uredske opreme i namještaja veća je zbog nabave računala, projektora, pisača,zvučnika te namještaja.</w:t>
      </w:r>
    </w:p>
    <w:p>
      <w:r>
        <w:t xml:space="preserve">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Uređaji, strojevi i oprema za ostale namjene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13,27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1.135,07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8553,7</w:t>
            </w:r>
          </w:p>
        </w:tc>
      </w:tr>
    </w:tbl>
    <w:p>
      <w:pPr>
        <w:spacing w:before="0" w:after="0"/>
      </w:pPr>
    </w:p>
    <w:p>
      <w:r>
        <w:t xml:space="preserve">Nabavljen je isusavač i aparat za kavu u vrijednosti 1.121,80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Knjige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1.307.132,99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1.225.858,00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93,8</w:t>
            </w:r>
          </w:p>
        </w:tc>
      </w:tr>
    </w:tbl>
    <w:p>
      <w:pPr>
        <w:spacing w:before="0" w:after="0"/>
      </w:pPr>
    </w:p>
    <w:p>
      <w:r>
        <w:t xml:space="preserve">Promjena se odnosi na nabavu nove knjižne građe u iznosu 61.297 eura te na otpis iste u iznosu 142.571,99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049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Ispravak vrijednosti sitnog inventara i autoguma u upotrebi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049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7.204,86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10.274,35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142,6</w:t>
            </w:r>
          </w:p>
        </w:tc>
      </w:tr>
    </w:tbl>
    <w:p>
      <w:pPr>
        <w:spacing w:before="0" w:after="0"/>
      </w:pPr>
    </w:p>
    <w:p>
      <w:r>
        <w:t xml:space="preserve">U 2025. godini nabavljen je sitni nventar u vrijednsoti 3.069,49 eura, a odnosi se na rezač papira, L držače za knjige, zidne panele, alu ljestve, kolica za prijenos knjiga te bannera.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Novac u banci i blagajni (šifre 111+112 do 114)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35.721,16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27.838,71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77,9</w:t>
            </w:r>
          </w:p>
        </w:tc>
      </w:tr>
    </w:tbl>
    <w:p>
      <w:pPr>
        <w:spacing w:before="0" w:after="0"/>
      </w:pPr>
    </w:p>
    <w:p>
      <w:r>
        <w:t xml:space="preserve">Stanje novčanih sredstava na žiro računu 31.12.2025. je 26.220,58 eura, a stanje blagajne 1.618,13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od zaposlenih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369,24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339,24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91,9</w:t>
            </w:r>
          </w:p>
        </w:tc>
      </w:tr>
    </w:tbl>
    <w:p>
      <w:pPr>
        <w:spacing w:before="0" w:after="0"/>
      </w:pPr>
    </w:p>
    <w:p>
      <w:r>
        <w:t xml:space="preserve">Odnose se na potraživanja od zaposlenih za blagajnički minimum.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Ostala potraživanja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491,92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709,76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144,3</w:t>
            </w:r>
          </w:p>
        </w:tc>
      </w:tr>
    </w:tbl>
    <w:p>
      <w:pPr>
        <w:spacing w:before="0" w:after="0"/>
      </w:pPr>
    </w:p>
    <w:p>
      <w:r>
        <w:t xml:space="preserve">Potraživanja od HZZO-a za naknadu za bolovanje.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rashode poslovanja (šifre 231 do 234 + 235 + 236 + 237 do 239)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25.505,43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24.007,49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94,1</w:t>
            </w:r>
          </w:p>
        </w:tc>
      </w:tr>
    </w:tbl>
    <w:p>
      <w:pPr>
        <w:spacing w:before="0" w:after="0"/>
      </w:pPr>
    </w:p>
    <w:p>
      <w:r>
        <w:t xml:space="preserve">Odnosi se na plaću za prosinac 2025. godine koja je isplaćena u siječnju 2026. godine.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Promjene u vrijednosti i obujmu imovine i obveza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povećanja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smanjenja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91512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Promjene u obujmu imovine (šifre P016+P023)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91512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157.046,76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Odnosi se na otpis knjižne građe u iznosu 142.571,99 eura te na ispravak vrijednosti 2025. godine u iznosu 14.474,77 eura.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Nema dospjelih obveza na kraju izvještajnog razdoblja.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  <w:style xmlns:w="http://schemas.openxmlformats.org/wordprocessingml/2006/main" w:type="table" w:styleId="TableGrid">
    <w:name w:val="Table Grid"/>
    <w:basedOn w:val="TableNormal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052cf57022024929" /></Relationships>
</file>